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</w:rPr>
      </w:pPr>
    </w:p>
    <w:p>
      <w:pPr>
        <w:jc w:val="center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i1025" o:spt="136" type="#_x0000_t136" style="height:56.05pt;width:440.4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rPr>
          <w:rFonts w:hint="eastAsia" w:ascii="黑体" w:hAnsi="黑体" w:eastAsia="黑体"/>
          <w:b/>
          <w:bCs/>
          <w:sz w:val="44"/>
        </w:rPr>
      </w:pPr>
    </w:p>
    <w:p>
      <w:pPr>
        <w:spacing w:line="620" w:lineRule="exact"/>
        <w:jc w:val="center"/>
        <w:rPr>
          <w:rFonts w:hint="eastAsia" w:ascii="方正仿宋_GBK" w:eastAsia="方正仿宋_GBK" w:cs="方正仿宋_GBK"/>
          <w:color w:val="000000"/>
          <w:sz w:val="32"/>
          <w:szCs w:val="32"/>
        </w:rPr>
      </w:pPr>
      <w:bookmarkStart w:id="0" w:name="_GoBack"/>
      <w:r>
        <w:rPr>
          <w:rFonts w:hint="eastAsia" w:ascii="方正仿宋_GBK" w:eastAsia="方正仿宋_GBK" w:cs="方正仿宋_GBK"/>
          <w:color w:val="000000"/>
          <w:sz w:val="32"/>
          <w:szCs w:val="32"/>
        </w:rPr>
        <w:t>渝农加协〔</w:t>
      </w:r>
      <w:r>
        <w:rPr>
          <w:rFonts w:asci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号</w:t>
      </w:r>
    </w:p>
    <w:bookmarkEnd w:id="0"/>
    <w:p>
      <w:pPr>
        <w:spacing w:line="620" w:lineRule="exact"/>
        <w:jc w:val="center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106680</wp:posOffset>
                </wp:positionV>
                <wp:extent cx="5534025" cy="0"/>
                <wp:effectExtent l="0" t="9525" r="952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.6pt;margin-top:8.4pt;height:0pt;width:435.75pt;z-index:251658240;mso-width-relative:page;mso-height-relative:page;" filled="f" stroked="t" coordsize="21600,21600" o:gfxdata="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TNM79QAAAAHAQAADwAAAAAAAAABACAAAAAiAAAAZHJzL2Rvd25yZXYu&#10;eG1sUEsBAhQAFAAAAAgAh07iQEYUurX/AQAA7QMAAA4AAAAAAAAAAQAgAAAAIw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关于征集农产品加工实用技术及成果的通知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各技术专家：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为深入贯彻落实《国务院办公厅关于进一步促进农产品加工业发展的意见》（国办发〔2016〕93 号）文件精神，充分发挥协会技术专家委员会作用，进一步提升我市农产品加工业技术创新能力，提高精深加工水平和初加工能力，推动全市农产品加工业提质增效。协会将开展农产品加工实用技术及成果征集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8日-10月30日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征集领域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粮食加工与制造业、饲料加工业、粮食原料酒制造业、植物油加工业、果蔬加工业、精制茶加工业、肉类加工业、蛋品加工业、乳品加工业、水产品加工业、烟草制造业、中药制造业、其他食用类农产品加工业、棉麻加工业、皮毛羽丝加工业、木竹藤棕草加工业等行业初加工和精深加工实用技术和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重庆市农产品加工业协会技术专家委员会各专家。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四、征集要求及内容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按照“通俗易懂、容易实施、实用性强”的原则，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以普遍性与共性相结合，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征集农产品加工实用技术规程和技术成果。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（一）农产品加工实用技术规程：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包括技术规程简介、工艺流程、操作要点、关键设备等。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（二）技术成果：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包括成果简介、市场和效益预测、 成果转化及合作方式、申请专利及企业运用情况等。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协会技术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会各专家于 10 月 30 日（周五）17:00前将农产品加工实用技术规程及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成果传协会秘书处邮箱：1220100688@qq.com。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协会技术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主任办公会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筛选纳入使用的农产品加工实用技术规程给予每项500元的补贴。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技术成果免费向全市农产品加工企业宣传推广，促进成果转化。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：67983267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张发旺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15215130497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汪芝聿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15902366733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122555</wp:posOffset>
            </wp:positionV>
            <wp:extent cx="2619375" cy="2419350"/>
            <wp:effectExtent l="0" t="0" r="9525" b="0"/>
            <wp:wrapNone/>
            <wp:docPr id="5" name="图片 5" descr="a1ad6981398a7cf4f65f6c9a25be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ad6981398a7cf4f65f6c9a25bed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附件：1.农产品加工实用技术规程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2.技术成果模板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2020年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农产品加工实用技术规程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技术规程简介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（50 字以内）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工艺流程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（以流程图的方式撰写）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原料→清洗、清理→……→包装→产品。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关键设备名称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（无需具体型号）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操作要点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（用通俗易懂的语言详细阐述各操作步骤）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1.原料选择：……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2.烘干：……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3.冷却包装：……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XXX 单位技术成果模板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成果名称：XXX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成果简介：XXXXXX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市场和效益预测：XXXXXX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成果转化及合作方式：XXXXXX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是否申请专利：XXXXXX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是否应用到企业：XXXXXX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成果提供者：XXXXXX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邮箱：XXXXXX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383540</wp:posOffset>
                </wp:positionV>
                <wp:extent cx="56749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5pt;margin-top:30.2pt;height:0pt;width:446.85pt;z-index:251659264;mso-width-relative:page;mso-height-relative:page;" filled="f" stroked="t" coordsize="21600,21600" o:gfxdata="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+WsZfXAAAABwEAAA8AAAAAAAAAAQAgAAAAIgAAAGRycy9kb3ducmV2LnhtbFBLAQIUABQA&#10;AAAIAIdO4kDov8ou8QEAAL0DAAAOAAAAAAAAAAEAIAAAACY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20" w:firstLineChars="100"/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378460</wp:posOffset>
                </wp:positionV>
                <wp:extent cx="56749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29.8pt;height:0pt;width:446.85pt;z-index:251660288;mso-width-relative:page;mso-height-relative:page;" filled="f" stroked="t" coordsize="21600,21600" o:gfxdata="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9m5KtcAAAAH&#10;AQAADwAAAAAAAAABACAAAAAiAAAAZHJzL2Rvd25yZXYueG1sUEsBAhQAFAAAAAgAh07iQIDUcT7k&#10;AQAAsgMAAA4AAAAAAAAAAQAgAAAAJg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2020年9月18日印发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EB936"/>
    <w:multiLevelType w:val="singleLevel"/>
    <w:tmpl w:val="D7CEB9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54C4"/>
    <w:rsid w:val="1D730CD5"/>
    <w:rsid w:val="25543D7B"/>
    <w:rsid w:val="2845105C"/>
    <w:rsid w:val="33562118"/>
    <w:rsid w:val="435119D0"/>
    <w:rsid w:val="46C4466E"/>
    <w:rsid w:val="5D0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样式1"/>
    <w:basedOn w:val="1"/>
    <w:next w:val="1"/>
    <w:qFormat/>
    <w:uiPriority w:val="0"/>
    <w:rPr>
      <w:rFonts w:ascii="Times New Roman" w:hAnsi="Times New Roman" w:eastAsia="方正仿宋_GBK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1082</Characters>
  <Lines>0</Lines>
  <Paragraphs>0</Paragraphs>
  <TotalTime>3</TotalTime>
  <ScaleCrop>false</ScaleCrop>
  <LinksUpToDate>false</LinksUpToDate>
  <CharactersWithSpaces>1194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2020-06-24T08:36:00Z</dcterms:created>
  <dc:creator>Administrator</dc:creator>
  <cp:lastModifiedBy>张发旺152 1513 0497</cp:lastModifiedBy>
  <dcterms:modified xsi:type="dcterms:W3CDTF">2020-11-11T06:51:58Z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