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/>
          <w:b/>
          <w:bCs/>
          <w:sz w:val="44"/>
        </w:rPr>
        <w:pict>
          <v:shape id="_x0000_i1025" o:spt="136" type="#_x0000_t136" style="height:59.1pt;width:442.3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农产品加工业协会文件" style="font-family:方正小标宋_GBK;font-size:36pt;v-rotate-letters:f;v-same-letter-heights:f;v-text-align:center;"/>
            <w10:wrap type="none"/>
            <w10:anchorlock/>
          </v:shape>
        </w:pic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渝农加协﹝20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﹞</w:t>
      </w:r>
      <w:r>
        <w:rPr>
          <w:rFonts w:hint="eastAsia" w:cs="方正仿宋_GBK"/>
          <w:sz w:val="32"/>
          <w:szCs w:val="32"/>
          <w:lang w:val="en-US" w:eastAsia="zh-CN"/>
        </w:rPr>
        <w:t>45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153035</wp:posOffset>
                </wp:positionV>
                <wp:extent cx="569722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9955" y="3283585"/>
                          <a:ext cx="56972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12.05pt;height:0pt;width:448.6pt;z-index:251675648;mso-width-relative:page;mso-height-relative:page;" filled="f" stroked="t" coordsize="21600,21600" o:gfxdata="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P5xxDYAAAACAEAAA8AAAAA&#10;AAAAAQAgAAAAIgAAAGRycy9kb3ducmV2LnhtbFBLAQIUABQAAAAIAIdO4kDLsvNe2wEAAG8DAAAO&#10;AAAAAAAAAAEAIAAAACcBAABkcnMvZTJvRG9jLnhtbFBLBQYAAAAABgAGAFkBAAB0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重庆市农产品加工业协会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关于召开农产品加工技术创新对接（渝东北）活动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cs="方正仿宋_GBK"/>
          <w:sz w:val="32"/>
          <w:szCs w:val="32"/>
          <w:lang w:eastAsia="zh-CN"/>
        </w:rPr>
        <w:t>有关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会员单位及相关企业：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为</w:t>
      </w:r>
      <w:r>
        <w:rPr>
          <w:rFonts w:hint="eastAsia" w:cs="方正仿宋_GBK"/>
          <w:bCs/>
          <w:sz w:val="32"/>
          <w:szCs w:val="32"/>
          <w:lang w:eastAsia="zh-CN"/>
        </w:rPr>
        <w:t>充分发挥农产品加工技术专家委员会作用，进一步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提升我市农产品加工业科技创新水平</w:t>
      </w:r>
      <w:r>
        <w:rPr>
          <w:rFonts w:hint="eastAsia" w:cs="方正仿宋_GBK"/>
          <w:bCs/>
          <w:sz w:val="32"/>
          <w:szCs w:val="32"/>
          <w:lang w:eastAsia="zh-CN"/>
        </w:rPr>
        <w:t>，在市农业农村委的指导下，协会将针对渝东北地区柑橘、翠李、猕猴桃、蓝莓等水果产业深加工技术及副产物综合利用开展</w:t>
      </w:r>
      <w:r>
        <w:rPr>
          <w:rFonts w:hint="eastAsia" w:cs="方正仿宋_GBK"/>
          <w:bCs/>
          <w:sz w:val="32"/>
          <w:szCs w:val="32"/>
          <w:lang w:val="en-US" w:eastAsia="zh-CN"/>
        </w:rPr>
        <w:t>农产品加工技术创新对接（渝东北）活动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会议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时间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2020年1</w:t>
      </w:r>
      <w:r>
        <w:rPr>
          <w:rFonts w:hint="eastAsia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日（星期三）</w:t>
      </w:r>
      <w:r>
        <w:rPr>
          <w:rFonts w:hint="eastAsia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:00-1</w:t>
      </w:r>
      <w:r>
        <w:rPr>
          <w:rFonts w:hint="eastAsia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:00</w:t>
      </w:r>
      <w:r>
        <w:rPr>
          <w:rFonts w:hint="eastAsia" w:cs="方正仿宋_GBK"/>
          <w:sz w:val="32"/>
          <w:szCs w:val="32"/>
          <w:lang w:val="en-US" w:eastAsia="zh-CN"/>
        </w:rPr>
        <w:t>，会期半天；13:00-13:50现场报道。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会议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地点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eastAsia="方正仿宋_GBK"/>
          <w:sz w:val="30"/>
          <w:szCs w:val="30"/>
          <w:lang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万州</w:t>
      </w:r>
      <w:r>
        <w:rPr>
          <w:rFonts w:hint="eastAsia" w:cs="方正仿宋_GBK"/>
          <w:sz w:val="32"/>
          <w:szCs w:val="32"/>
          <w:lang w:eastAsia="zh-CN"/>
        </w:rPr>
        <w:t>太白宾馆交旅会议室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eastAsia" w:cs="方正仿宋_GBK"/>
          <w:sz w:val="32"/>
          <w:szCs w:val="32"/>
          <w:lang w:eastAsia="zh-CN"/>
        </w:rPr>
        <w:t>万州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</w:t>
      </w:r>
      <w:r>
        <w:rPr>
          <w:rFonts w:hint="eastAsia" w:cs="方正仿宋_GBK"/>
          <w:sz w:val="32"/>
          <w:szCs w:val="32"/>
          <w:lang w:eastAsia="zh-CN"/>
        </w:rPr>
        <w:t>白岩路</w:t>
      </w:r>
      <w:r>
        <w:rPr>
          <w:rFonts w:hint="eastAsia" w:cs="方正仿宋_GBK"/>
          <w:sz w:val="32"/>
          <w:szCs w:val="32"/>
          <w:lang w:val="en-US" w:eastAsia="zh-CN"/>
        </w:rPr>
        <w:t>232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eastAsia="方正仿宋_GBK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三、参加人员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万州区农业农村委；万州区、长寿区、梁平区、开州区、垫江县、忠县、云阳县、奉节县、巫山县、巫溪县等渝东北片区相关柑橘、翠李、蓝莓、猕猴桃种植加工企业及新型经营主体相关负责人。邀请</w:t>
      </w:r>
      <w:r>
        <w:rPr>
          <w:rFonts w:hint="eastAsia" w:cs="方正仿宋_GBK"/>
          <w:spacing w:val="-11"/>
          <w:sz w:val="32"/>
          <w:szCs w:val="32"/>
          <w:lang w:val="en-US" w:eastAsia="zh-CN"/>
        </w:rPr>
        <w:t>市农业农村委相关领导到会指导。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638" w:leftChars="29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会议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内容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柑橘</w:t>
      </w:r>
      <w:r>
        <w:rPr>
          <w:rFonts w:hint="eastAsia" w:cs="方正仿宋_GBK"/>
          <w:sz w:val="32"/>
          <w:szCs w:val="32"/>
          <w:lang w:eastAsia="zh-CN"/>
        </w:rPr>
        <w:t>、翠李、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蓝莓</w:t>
      </w:r>
      <w:r>
        <w:rPr>
          <w:rFonts w:hint="eastAsia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猕猴桃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深加工</w:t>
      </w:r>
      <w:r>
        <w:rPr>
          <w:rFonts w:hint="eastAsia" w:cs="方正仿宋_GBK"/>
          <w:sz w:val="32"/>
          <w:szCs w:val="32"/>
          <w:lang w:eastAsia="zh-CN"/>
        </w:rPr>
        <w:t>技术开发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及副产物综合利用主题培训</w:t>
      </w:r>
      <w:r>
        <w:rPr>
          <w:rFonts w:hint="eastAsia" w:cs="方正仿宋_GBK"/>
          <w:sz w:val="32"/>
          <w:szCs w:val="32"/>
          <w:lang w:eastAsia="zh-CN"/>
        </w:rPr>
        <w:t>；</w:t>
      </w:r>
      <w:r>
        <w:rPr>
          <w:rFonts w:hint="eastAsia" w:cs="方正仿宋_GBK"/>
          <w:sz w:val="32"/>
          <w:szCs w:val="32"/>
          <w:lang w:val="en-US" w:eastAsia="zh-CN"/>
        </w:rPr>
        <w:t>技术中心（研发机构）创建、农产品加工及融资政策宣讲等。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相关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</w:t>
      </w:r>
      <w:r>
        <w:rPr>
          <w:rFonts w:hint="eastAsia" w:cs="方正仿宋_GBK"/>
          <w:sz w:val="32"/>
          <w:szCs w:val="32"/>
          <w:lang w:eastAsia="zh-CN"/>
        </w:rPr>
        <w:t>本次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创新对接活动</w:t>
      </w:r>
      <w:r>
        <w:rPr>
          <w:rFonts w:hint="eastAsia" w:cs="方正仿宋_GBK"/>
          <w:sz w:val="32"/>
          <w:szCs w:val="32"/>
          <w:lang w:eastAsia="zh-CN"/>
        </w:rPr>
        <w:t>目的是</w:t>
      </w:r>
      <w:r>
        <w:rPr>
          <w:rFonts w:hint="eastAsia" w:cs="方正仿宋_GBK"/>
          <w:sz w:val="32"/>
          <w:szCs w:val="32"/>
          <w:lang w:val="en-US" w:eastAsia="zh-CN"/>
        </w:rPr>
        <w:t>提升相关水果产业附加值，降低损耗，</w:t>
      </w:r>
      <w:r>
        <w:rPr>
          <w:rFonts w:hint="eastAsia" w:cs="方正仿宋_GBK"/>
          <w:sz w:val="32"/>
          <w:szCs w:val="32"/>
          <w:lang w:eastAsia="zh-CN"/>
        </w:rPr>
        <w:t>推动我市水果产业的深加工技术开发</w:t>
      </w:r>
      <w:r>
        <w:rPr>
          <w:rFonts w:hint="eastAsia" w:cs="方正仿宋_GBK"/>
          <w:sz w:val="32"/>
          <w:szCs w:val="32"/>
          <w:lang w:val="en-US" w:eastAsia="zh-CN"/>
        </w:rPr>
        <w:t>及副产物综合利用；同时将介绍企业技术中心（研发机构）创建及行业发展、融资等相关政策，请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相关企业</w:t>
      </w:r>
      <w:r>
        <w:rPr>
          <w:rFonts w:hint="eastAsia" w:cs="方正仿宋_GBK"/>
          <w:sz w:val="32"/>
          <w:szCs w:val="32"/>
          <w:lang w:val="en-US" w:eastAsia="zh-CN"/>
        </w:rPr>
        <w:t>合理安排对应人员参加。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textAlignment w:val="auto"/>
        <w:rPr>
          <w:rFonts w:hint="eastAsia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（二）</w:t>
      </w:r>
      <w:r>
        <w:rPr>
          <w:rFonts w:hint="eastAsia" w:cs="方正仿宋_GBK"/>
          <w:sz w:val="32"/>
          <w:szCs w:val="32"/>
          <w:lang w:eastAsia="zh-CN"/>
        </w:rPr>
        <w:t>请相关企业</w:t>
      </w:r>
      <w:r>
        <w:rPr>
          <w:rFonts w:hint="eastAsia" w:cs="方正仿宋_GBK"/>
          <w:sz w:val="32"/>
          <w:szCs w:val="32"/>
          <w:lang w:val="en-US" w:eastAsia="zh-CN"/>
        </w:rPr>
        <w:t>于11月16日（周一）17点前将《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参会回执</w:t>
      </w:r>
      <w:r>
        <w:rPr>
          <w:rFonts w:hint="eastAsia" w:cs="方正仿宋_GBK"/>
          <w:sz w:val="32"/>
          <w:szCs w:val="32"/>
          <w:lang w:eastAsia="zh-CN"/>
        </w:rPr>
        <w:t>及需求调查表</w:t>
      </w:r>
      <w:r>
        <w:rPr>
          <w:rFonts w:hint="eastAsia" w:cs="方正仿宋_GBK"/>
          <w:sz w:val="32"/>
          <w:szCs w:val="32"/>
          <w:lang w:val="en-US" w:eastAsia="zh-CN"/>
        </w:rPr>
        <w:t>》传协会秘书处邮箱</w:t>
      </w:r>
      <w:r>
        <w:rPr>
          <w:rFonts w:hint="eastAsia" w:cs="方正仿宋_GBK"/>
          <w:color w:val="auto"/>
          <w:sz w:val="32"/>
          <w:szCs w:val="32"/>
          <w:u w:val="none"/>
          <w:lang w:val="en-US" w:eastAsia="zh-CN"/>
        </w:rPr>
        <w:t>：cqncpjg@126.com。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eastAsia="zh-CN"/>
        </w:rPr>
        <w:t>联系人：</w:t>
      </w:r>
      <w:r>
        <w:rPr>
          <w:rFonts w:hint="eastAsia" w:cs="方正仿宋_GBK"/>
          <w:sz w:val="32"/>
          <w:szCs w:val="32"/>
          <w:lang w:val="en-US" w:eastAsia="zh-CN"/>
        </w:rPr>
        <w:t>包正东  67983267  15808082343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附件：参会回执</w:t>
      </w:r>
      <w:r>
        <w:rPr>
          <w:rFonts w:hint="eastAsia" w:cs="方正仿宋_GBK"/>
          <w:sz w:val="32"/>
          <w:szCs w:val="32"/>
          <w:lang w:eastAsia="zh-CN"/>
        </w:rPr>
        <w:t>及需求调查表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left="0" w:leftChars="0" w:firstLine="0" w:firstLineChars="0"/>
        <w:jc w:val="both"/>
        <w:textAlignment w:val="auto"/>
        <w:rPr>
          <w:rFonts w:hint="eastAsia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重庆市农产品加工业协会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2020年</w:t>
      </w:r>
      <w:r>
        <w:rPr>
          <w:rFonts w:hint="eastAsia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rPr>
          <w:rFonts w:hint="eastAsia"/>
          <w:lang w:eastAsia="zh-CN"/>
        </w:rPr>
      </w:pPr>
    </w:p>
    <w:p>
      <w:pPr>
        <w:spacing w:after="240" w:afterLines="77"/>
        <w:jc w:val="both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</w:p>
    <w:p>
      <w:pPr>
        <w:spacing w:after="240" w:afterLines="77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参会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回执及需求调查表</w:t>
      </w:r>
    </w:p>
    <w:tbl>
      <w:tblPr>
        <w:tblStyle w:val="6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12"/>
        <w:gridCol w:w="490"/>
        <w:gridCol w:w="800"/>
        <w:gridCol w:w="375"/>
        <w:gridCol w:w="988"/>
        <w:gridCol w:w="55"/>
        <w:gridCol w:w="270"/>
        <w:gridCol w:w="455"/>
        <w:gridCol w:w="268"/>
        <w:gridCol w:w="189"/>
        <w:gridCol w:w="281"/>
        <w:gridCol w:w="600"/>
        <w:gridCol w:w="419"/>
        <w:gridCol w:w="363"/>
        <w:gridCol w:w="830"/>
        <w:gridCol w:w="70"/>
        <w:gridCol w:w="37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474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lang w:eastAsia="zh-CN"/>
              </w:rPr>
              <w:t>一、参会回执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区县</w:t>
            </w:r>
          </w:p>
        </w:tc>
        <w:tc>
          <w:tcPr>
            <w:tcW w:w="384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84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84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84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474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center"/>
              <w:rPr>
                <w:rFonts w:hint="eastAsia" w:cs="方正仿宋_GBK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lang w:val="en-US" w:eastAsia="zh-CN"/>
              </w:rPr>
              <w:t xml:space="preserve">    二、技术需求调查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left="0" w:leftChars="0" w:right="0" w:rightChars="0"/>
              <w:jc w:val="center"/>
              <w:rPr>
                <w:rFonts w:hint="eastAsia" w:cs="方正仿宋_GBK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eastAsia="zh-CN"/>
              </w:rPr>
              <w:t>水果类别</w:t>
            </w:r>
          </w:p>
        </w:tc>
        <w:tc>
          <w:tcPr>
            <w:tcW w:w="8183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right="0" w:rightChars="0"/>
              <w:jc w:val="both"/>
              <w:rPr>
                <w:rFonts w:hint="default" w:cs="方正仿宋_GBK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柑橘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翠李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蓝莓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猕猴桃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急需解决的技术问题</w:t>
            </w:r>
          </w:p>
        </w:tc>
        <w:tc>
          <w:tcPr>
            <w:tcW w:w="818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47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lang w:val="en-US" w:eastAsia="zh-CN"/>
              </w:rPr>
              <w:t xml:space="preserve">             三、融资需求调查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资金需求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80"/>
                <w:sz w:val="28"/>
                <w:szCs w:val="28"/>
                <w:lang w:val="en-US" w:eastAsia="zh-CN"/>
              </w:rPr>
              <w:t xml:space="preserve">        万元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拟采取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融资方式</w:t>
            </w:r>
          </w:p>
        </w:tc>
        <w:tc>
          <w:tcPr>
            <w:tcW w:w="52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抵押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信用</w:t>
            </w: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（税收贷、应收账款质押、订单贷等）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经营情况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资产总额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销售收入</w:t>
            </w:r>
          </w:p>
        </w:tc>
        <w:tc>
          <w:tcPr>
            <w:tcW w:w="1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销售增长率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纳税金额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应收账款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负债总额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9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2019年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</w:p>
        </w:tc>
        <w:tc>
          <w:tcPr>
            <w:tcW w:w="151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9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2020年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</w:p>
        </w:tc>
        <w:tc>
          <w:tcPr>
            <w:tcW w:w="1518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银行信用等级</w:t>
            </w:r>
          </w:p>
        </w:tc>
        <w:tc>
          <w:tcPr>
            <w:tcW w:w="21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</w:p>
        </w:tc>
        <w:tc>
          <w:tcPr>
            <w:tcW w:w="1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税收评级</w:t>
            </w:r>
          </w:p>
        </w:tc>
        <w:tc>
          <w:tcPr>
            <w:tcW w:w="4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近两年公司不良记录情况</w:t>
            </w:r>
          </w:p>
        </w:tc>
        <w:tc>
          <w:tcPr>
            <w:tcW w:w="3211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</w:p>
        </w:tc>
        <w:tc>
          <w:tcPr>
            <w:tcW w:w="185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法人逾期或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不良记录情况</w:t>
            </w:r>
          </w:p>
        </w:tc>
        <w:tc>
          <w:tcPr>
            <w:tcW w:w="2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现有固定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资产类型</w:t>
            </w:r>
          </w:p>
        </w:tc>
        <w:tc>
          <w:tcPr>
            <w:tcW w:w="4700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（如：土地证、厂房、住宅、车库、设备等）</w:t>
            </w:r>
          </w:p>
        </w:tc>
        <w:tc>
          <w:tcPr>
            <w:tcW w:w="12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价值金额</w:t>
            </w:r>
          </w:p>
        </w:tc>
        <w:tc>
          <w:tcPr>
            <w:tcW w:w="1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840" w:firstLineChars="30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default" w:ascii="宋体" w:hAnsi="宋体" w:eastAsia="宋体" w:cs="宋体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现有贷款</w:t>
            </w:r>
            <w:r>
              <w:rPr>
                <w:rFonts w:hint="default" w:ascii="宋体" w:hAnsi="宋体" w:eastAsia="宋体" w:cs="宋体"/>
                <w:b w:val="0"/>
                <w:bCs/>
                <w:w w:val="90"/>
                <w:sz w:val="28"/>
                <w:szCs w:val="28"/>
                <w:lang w:eastAsia="zh-CN"/>
              </w:rPr>
              <w:t>余额</w:t>
            </w:r>
          </w:p>
        </w:tc>
        <w:tc>
          <w:tcPr>
            <w:tcW w:w="22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8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3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9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pacing w:after="0" w:afterLines="100" w:afterAutospacing="0"/>
        <w:ind w:left="0" w:leftChars="0" w:firstLine="0" w:firstLineChars="0"/>
        <w:jc w:val="both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before="0" w:beforeAutospacing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232410</wp:posOffset>
                </wp:positionV>
                <wp:extent cx="567499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2975" y="9077960"/>
                          <a:ext cx="56749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9pt;margin-top:18.3pt;height:0pt;width:446.85pt;z-index:251726848;mso-width-relative:page;mso-height-relative:page;" filled="f" stroked="t" coordsize="21600,21600" o:gfxdata="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DmCGLWAAAABwEAAA8AAAAAAAAAAQAgAAAA&#10;IgAAAGRycy9kb3ducmV2LnhtbFBLAQIUABQAAAAIAIdO4kCoW/v11AEAAG8DAAAOAAAAAAAAAAEA&#10;IAAAACUBAABkcnMvZTJvRG9jLnhtbFBLBQYAAAAABgAGAFkBAABr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80" w:firstLineChars="100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重庆市农产品加工业协会秘书处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</w:t>
      </w:r>
      <w:r>
        <w:rPr>
          <w:rFonts w:hint="eastAsia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20</w:t>
      </w:r>
      <w:r>
        <w:rPr>
          <w:rFonts w:hint="eastAsia" w:cs="方正仿宋_GBK"/>
          <w:sz w:val="28"/>
          <w:szCs w:val="2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cs="方正仿宋_GBK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cs="方正仿宋_GBK"/>
          <w:sz w:val="28"/>
          <w:szCs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日印发</w:t>
      </w:r>
    </w:p>
    <w:p>
      <w:pPr>
        <w:rPr>
          <w:rFonts w:hint="eastAsi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57785</wp:posOffset>
                </wp:positionV>
                <wp:extent cx="567499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05pt;margin-top:4.55pt;height:0pt;width:446.85pt;z-index:251727872;mso-width-relative:page;mso-height-relative:page;" filled="f" stroked="t" coordsize="21600,21600" o:gfxdata="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rF1cdUAAAAFAQAADwAAAAAAAAABACAAAAAiAAAAZHJzL2Rvd25y&#10;ZXYueG1sUEsBAhQAFAAAAAgAh07iQFCsLF7IAQAAZAMAAA4AAAAAAAAAAQAgAAAAJAEAAGRycy9l&#10;Mm9Eb2MueG1sUEsFBgAAAAAGAAYAWQEAAF4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10" w:h="16840"/>
      <w:pgMar w:top="1984" w:right="1446" w:bottom="1644" w:left="1446" w:header="0" w:footer="1451" w:gutter="0"/>
      <w:pgNumType w:fmt="numberInDash"/>
      <w:cols w:equalWidth="0" w:num="1">
        <w:col w:w="13212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E2373"/>
    <w:rsid w:val="02C56F8D"/>
    <w:rsid w:val="04101465"/>
    <w:rsid w:val="062F1833"/>
    <w:rsid w:val="067A4B34"/>
    <w:rsid w:val="08A31A65"/>
    <w:rsid w:val="0AD866E3"/>
    <w:rsid w:val="0B6E2373"/>
    <w:rsid w:val="0CEC4EE0"/>
    <w:rsid w:val="0E716349"/>
    <w:rsid w:val="0EF05EC8"/>
    <w:rsid w:val="0FAE3ADF"/>
    <w:rsid w:val="13047AAF"/>
    <w:rsid w:val="14514D77"/>
    <w:rsid w:val="15E93DB1"/>
    <w:rsid w:val="15FC2E50"/>
    <w:rsid w:val="17662CF3"/>
    <w:rsid w:val="177C7C49"/>
    <w:rsid w:val="188C4010"/>
    <w:rsid w:val="1A271AE1"/>
    <w:rsid w:val="1D436F12"/>
    <w:rsid w:val="208C529A"/>
    <w:rsid w:val="218A4B54"/>
    <w:rsid w:val="22A94435"/>
    <w:rsid w:val="260E0F84"/>
    <w:rsid w:val="26A110C0"/>
    <w:rsid w:val="27770495"/>
    <w:rsid w:val="28ED2667"/>
    <w:rsid w:val="2AF1133C"/>
    <w:rsid w:val="2B4D2F43"/>
    <w:rsid w:val="2D04652E"/>
    <w:rsid w:val="2FE07957"/>
    <w:rsid w:val="32746AE9"/>
    <w:rsid w:val="33261C85"/>
    <w:rsid w:val="369A4514"/>
    <w:rsid w:val="37FC64B8"/>
    <w:rsid w:val="3A2803C0"/>
    <w:rsid w:val="3C752CE6"/>
    <w:rsid w:val="3F655FEF"/>
    <w:rsid w:val="3FB73EC1"/>
    <w:rsid w:val="452C107C"/>
    <w:rsid w:val="45E85BB1"/>
    <w:rsid w:val="47F452E6"/>
    <w:rsid w:val="4A362E02"/>
    <w:rsid w:val="4C4A7C8C"/>
    <w:rsid w:val="4D9343C4"/>
    <w:rsid w:val="4E901F06"/>
    <w:rsid w:val="5431766A"/>
    <w:rsid w:val="54BB01F0"/>
    <w:rsid w:val="58377DCC"/>
    <w:rsid w:val="5AA532CB"/>
    <w:rsid w:val="5B3C0254"/>
    <w:rsid w:val="5DC75D74"/>
    <w:rsid w:val="5E9768A4"/>
    <w:rsid w:val="5F271D83"/>
    <w:rsid w:val="60C22C09"/>
    <w:rsid w:val="611B1209"/>
    <w:rsid w:val="64465D1F"/>
    <w:rsid w:val="660F64EC"/>
    <w:rsid w:val="66473F8B"/>
    <w:rsid w:val="68356AE7"/>
    <w:rsid w:val="691A7AEB"/>
    <w:rsid w:val="6AE27B6D"/>
    <w:rsid w:val="6C17658F"/>
    <w:rsid w:val="6C2F5758"/>
    <w:rsid w:val="72F14020"/>
    <w:rsid w:val="73E85AC9"/>
    <w:rsid w:val="744E4801"/>
    <w:rsid w:val="783F16F1"/>
    <w:rsid w:val="797C4CC6"/>
    <w:rsid w:val="798C14C6"/>
    <w:rsid w:val="7E6A4121"/>
    <w:rsid w:val="7EB40F97"/>
    <w:rsid w:val="AB6E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77" w:lineRule="exact"/>
      <w:ind w:left="973" w:right="1213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2020-09-17T15:05:00Z</dcterms:created>
  <dc:creator>张发旺152 1513 0497</dc:creator>
  <cp:lastModifiedBy>15808082343</cp:lastModifiedBy>
  <dcterms:modified xsi:type="dcterms:W3CDTF">2020-11-12T08:16:11Z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