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方正黑体_GBK"/>
          <w:b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/>
          <w:b/>
          <w:bCs/>
          <w:sz w:val="40"/>
          <w:szCs w:val="40"/>
          <w:lang w:val="en-US" w:eastAsia="zh-CN"/>
        </w:rPr>
        <w:t>2019年农产品加工业发展</w:t>
      </w:r>
      <w:r>
        <w:rPr>
          <w:rFonts w:hint="eastAsia"/>
          <w:b/>
          <w:bCs/>
          <w:sz w:val="40"/>
          <w:szCs w:val="40"/>
          <w:lang w:eastAsia="zh-CN"/>
        </w:rPr>
        <w:t>情况调查表</w:t>
      </w:r>
    </w:p>
    <w:tbl>
      <w:tblPr>
        <w:tblStyle w:val="9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81"/>
        <w:gridCol w:w="1915"/>
        <w:gridCol w:w="1101"/>
        <w:gridCol w:w="1550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区县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8284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8284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农副食品加工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食品制造业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酒及饮料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饲料、精制茶制造业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烟草制品业      </w:t>
            </w:r>
            <w:r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编织业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皮革、毛皮、羽毛及制品和制鞋业 </w:t>
            </w:r>
          </w:p>
          <w:p>
            <w:pPr>
              <w:jc w:val="left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木材加工和木竹、藤、棕、草制品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家具制造业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造纸、医药制造业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规模情况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规模以上企业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规模以下企业</w:t>
            </w:r>
          </w:p>
        </w:tc>
        <w:tc>
          <w:tcPr>
            <w:tcW w:w="1550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上市情况</w:t>
            </w:r>
          </w:p>
        </w:tc>
        <w:tc>
          <w:tcPr>
            <w:tcW w:w="2437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是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6" w:type="dxa"/>
            <w:gridSpan w:val="6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2018年主要经济指标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总产值（万元）</w:t>
            </w:r>
          </w:p>
        </w:tc>
        <w:tc>
          <w:tcPr>
            <w:tcW w:w="19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上缴税金（万元）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销售收入（万元）</w:t>
            </w:r>
          </w:p>
        </w:tc>
        <w:tc>
          <w:tcPr>
            <w:tcW w:w="19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出口创汇（万美元）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固定资产总额（万元）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净利润（万元）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农产品加工转化率（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企业用本地原材料占总原材料比例（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3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带动农户（户）</w:t>
            </w:r>
          </w:p>
        </w:tc>
        <w:tc>
          <w:tcPr>
            <w:tcW w:w="19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职工人数（人）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资金需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求情况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资金需求缺口（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万元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4" w:type="dxa"/>
            <w:gridSpan w:val="5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在的主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要问题</w:t>
            </w:r>
          </w:p>
        </w:tc>
        <w:tc>
          <w:tcPr>
            <w:tcW w:w="8284" w:type="dxa"/>
            <w:gridSpan w:val="5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对行业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门或协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会建议</w:t>
            </w:r>
          </w:p>
        </w:tc>
        <w:tc>
          <w:tcPr>
            <w:tcW w:w="8284" w:type="dxa"/>
            <w:gridSpan w:val="5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方正仿宋_GBK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方正仿宋_GBK"/>
          <w:b/>
          <w:bCs/>
          <w:sz w:val="24"/>
          <w:szCs w:val="24"/>
          <w:lang w:eastAsia="zh-CN"/>
        </w:rPr>
        <w:t>备注：农产品加工转化率</w:t>
      </w:r>
      <w:r>
        <w:rPr>
          <w:rFonts w:hint="eastAsia" w:ascii="仿宋" w:hAnsi="仿宋" w:eastAsia="仿宋" w:cs="方正仿宋_GBK"/>
          <w:b/>
          <w:bCs/>
          <w:sz w:val="24"/>
          <w:szCs w:val="24"/>
          <w:lang w:val="en-US" w:eastAsia="zh-CN"/>
        </w:rPr>
        <w:t>指</w:t>
      </w:r>
      <w:r>
        <w:rPr>
          <w:rFonts w:hint="eastAsia" w:ascii="仿宋" w:hAnsi="仿宋" w:eastAsia="仿宋" w:cs="方正仿宋_GBK"/>
          <w:b/>
          <w:bCs/>
          <w:sz w:val="24"/>
          <w:szCs w:val="24"/>
          <w:lang w:eastAsia="zh-CN"/>
        </w:rPr>
        <w:t>农产品原料进入加工环节的数量</w:t>
      </w:r>
      <w:r>
        <w:rPr>
          <w:rFonts w:hint="eastAsia" w:ascii="仿宋" w:hAnsi="仿宋" w:eastAsia="仿宋" w:cs="方正仿宋_GBK"/>
          <w:b/>
          <w:bCs/>
          <w:sz w:val="24"/>
          <w:szCs w:val="24"/>
          <w:lang w:val="en-US" w:eastAsia="zh-CN"/>
        </w:rPr>
        <w:t>占</w:t>
      </w:r>
      <w:r>
        <w:rPr>
          <w:rFonts w:hint="eastAsia" w:ascii="仿宋" w:hAnsi="仿宋" w:eastAsia="仿宋" w:cs="方正仿宋_GBK"/>
          <w:b/>
          <w:bCs/>
          <w:sz w:val="24"/>
          <w:szCs w:val="24"/>
          <w:lang w:eastAsia="zh-CN"/>
        </w:rPr>
        <w:t>总产量的比例</w:t>
      </w:r>
    </w:p>
    <w:sectPr>
      <w:footerReference r:id="rId3" w:type="default"/>
      <w:pgSz w:w="11906" w:h="16838"/>
      <w:pgMar w:top="1701" w:right="1648" w:bottom="1134" w:left="163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EE"/>
    <w:rsid w:val="000036A9"/>
    <w:rsid w:val="000060C5"/>
    <w:rsid w:val="00015D05"/>
    <w:rsid w:val="00015F59"/>
    <w:rsid w:val="00016AAF"/>
    <w:rsid w:val="000212CF"/>
    <w:rsid w:val="00030100"/>
    <w:rsid w:val="0003633F"/>
    <w:rsid w:val="00036941"/>
    <w:rsid w:val="00043D7D"/>
    <w:rsid w:val="00043DC4"/>
    <w:rsid w:val="000470D6"/>
    <w:rsid w:val="00047384"/>
    <w:rsid w:val="0005362E"/>
    <w:rsid w:val="00054917"/>
    <w:rsid w:val="00056B35"/>
    <w:rsid w:val="00062333"/>
    <w:rsid w:val="000742F9"/>
    <w:rsid w:val="00076C31"/>
    <w:rsid w:val="00077ABA"/>
    <w:rsid w:val="0008199A"/>
    <w:rsid w:val="00083395"/>
    <w:rsid w:val="000850BB"/>
    <w:rsid w:val="00094FD0"/>
    <w:rsid w:val="000A1A1D"/>
    <w:rsid w:val="000A2B8D"/>
    <w:rsid w:val="000B04F3"/>
    <w:rsid w:val="000B219A"/>
    <w:rsid w:val="000B2AA1"/>
    <w:rsid w:val="000B5983"/>
    <w:rsid w:val="000C09A3"/>
    <w:rsid w:val="000C24AA"/>
    <w:rsid w:val="000C2CD5"/>
    <w:rsid w:val="000D0055"/>
    <w:rsid w:val="000D19FC"/>
    <w:rsid w:val="000D6EF6"/>
    <w:rsid w:val="000E01B2"/>
    <w:rsid w:val="000E12D4"/>
    <w:rsid w:val="000F2289"/>
    <w:rsid w:val="000F3511"/>
    <w:rsid w:val="000F5441"/>
    <w:rsid w:val="000F59F5"/>
    <w:rsid w:val="000F737B"/>
    <w:rsid w:val="00102A8E"/>
    <w:rsid w:val="001031AA"/>
    <w:rsid w:val="00106010"/>
    <w:rsid w:val="00111303"/>
    <w:rsid w:val="00111A18"/>
    <w:rsid w:val="00114C42"/>
    <w:rsid w:val="001153AA"/>
    <w:rsid w:val="0011576C"/>
    <w:rsid w:val="00117927"/>
    <w:rsid w:val="001219A9"/>
    <w:rsid w:val="00125C7F"/>
    <w:rsid w:val="001317CF"/>
    <w:rsid w:val="0014510D"/>
    <w:rsid w:val="00147863"/>
    <w:rsid w:val="00147D48"/>
    <w:rsid w:val="00155C1A"/>
    <w:rsid w:val="0015786D"/>
    <w:rsid w:val="00162483"/>
    <w:rsid w:val="00163A9D"/>
    <w:rsid w:val="00167648"/>
    <w:rsid w:val="001708AB"/>
    <w:rsid w:val="00181CE6"/>
    <w:rsid w:val="0019441F"/>
    <w:rsid w:val="00196B0D"/>
    <w:rsid w:val="001A3AE0"/>
    <w:rsid w:val="001A3BDB"/>
    <w:rsid w:val="001B03DF"/>
    <w:rsid w:val="001B266D"/>
    <w:rsid w:val="001B2C2E"/>
    <w:rsid w:val="001B4C22"/>
    <w:rsid w:val="001C0CE1"/>
    <w:rsid w:val="001E0835"/>
    <w:rsid w:val="001E4C25"/>
    <w:rsid w:val="001E5137"/>
    <w:rsid w:val="001E6BAE"/>
    <w:rsid w:val="001F2604"/>
    <w:rsid w:val="001F611E"/>
    <w:rsid w:val="002044BB"/>
    <w:rsid w:val="0021311F"/>
    <w:rsid w:val="0022184B"/>
    <w:rsid w:val="00222813"/>
    <w:rsid w:val="00233EB2"/>
    <w:rsid w:val="00235430"/>
    <w:rsid w:val="00237AA5"/>
    <w:rsid w:val="00243EBB"/>
    <w:rsid w:val="00244F75"/>
    <w:rsid w:val="00245937"/>
    <w:rsid w:val="002513FE"/>
    <w:rsid w:val="0025280F"/>
    <w:rsid w:val="0025455A"/>
    <w:rsid w:val="002549DE"/>
    <w:rsid w:val="00254DC4"/>
    <w:rsid w:val="00254FD4"/>
    <w:rsid w:val="00256746"/>
    <w:rsid w:val="00262C81"/>
    <w:rsid w:val="00263219"/>
    <w:rsid w:val="00264179"/>
    <w:rsid w:val="002658CB"/>
    <w:rsid w:val="002728B7"/>
    <w:rsid w:val="00272BAC"/>
    <w:rsid w:val="002737AE"/>
    <w:rsid w:val="00280DD1"/>
    <w:rsid w:val="00283E5F"/>
    <w:rsid w:val="002841F6"/>
    <w:rsid w:val="002878B3"/>
    <w:rsid w:val="00292270"/>
    <w:rsid w:val="00292D6A"/>
    <w:rsid w:val="00297390"/>
    <w:rsid w:val="002A114D"/>
    <w:rsid w:val="002A550A"/>
    <w:rsid w:val="002C021F"/>
    <w:rsid w:val="002D01D7"/>
    <w:rsid w:val="002D1604"/>
    <w:rsid w:val="002D41D5"/>
    <w:rsid w:val="002D543F"/>
    <w:rsid w:val="002D5C6E"/>
    <w:rsid w:val="002E04A2"/>
    <w:rsid w:val="002E1181"/>
    <w:rsid w:val="002E4DEF"/>
    <w:rsid w:val="002E61AF"/>
    <w:rsid w:val="002F7C74"/>
    <w:rsid w:val="003044E1"/>
    <w:rsid w:val="00304E04"/>
    <w:rsid w:val="00320ADB"/>
    <w:rsid w:val="00323FF0"/>
    <w:rsid w:val="003251F6"/>
    <w:rsid w:val="0032776A"/>
    <w:rsid w:val="003341D6"/>
    <w:rsid w:val="00334F1E"/>
    <w:rsid w:val="00335B02"/>
    <w:rsid w:val="0035196A"/>
    <w:rsid w:val="00354418"/>
    <w:rsid w:val="00361AFC"/>
    <w:rsid w:val="003655DE"/>
    <w:rsid w:val="003658F4"/>
    <w:rsid w:val="003663B9"/>
    <w:rsid w:val="0037064C"/>
    <w:rsid w:val="003708E1"/>
    <w:rsid w:val="00372BEA"/>
    <w:rsid w:val="00373B4A"/>
    <w:rsid w:val="00382822"/>
    <w:rsid w:val="00384B11"/>
    <w:rsid w:val="00385062"/>
    <w:rsid w:val="003968EC"/>
    <w:rsid w:val="00397BC4"/>
    <w:rsid w:val="003B0D08"/>
    <w:rsid w:val="003B1F6D"/>
    <w:rsid w:val="003B5CB2"/>
    <w:rsid w:val="003C04A1"/>
    <w:rsid w:val="003C5F4A"/>
    <w:rsid w:val="003C7FB0"/>
    <w:rsid w:val="003D2AC3"/>
    <w:rsid w:val="003D51BC"/>
    <w:rsid w:val="003E3669"/>
    <w:rsid w:val="003E5EF3"/>
    <w:rsid w:val="003F37D6"/>
    <w:rsid w:val="004003AE"/>
    <w:rsid w:val="00410944"/>
    <w:rsid w:val="00412821"/>
    <w:rsid w:val="00414E3D"/>
    <w:rsid w:val="004279A2"/>
    <w:rsid w:val="00430B2C"/>
    <w:rsid w:val="0044124B"/>
    <w:rsid w:val="00447422"/>
    <w:rsid w:val="0047491C"/>
    <w:rsid w:val="0048190E"/>
    <w:rsid w:val="00483BD0"/>
    <w:rsid w:val="00493097"/>
    <w:rsid w:val="00494452"/>
    <w:rsid w:val="00495AD3"/>
    <w:rsid w:val="00496EE1"/>
    <w:rsid w:val="004978C7"/>
    <w:rsid w:val="004A02E1"/>
    <w:rsid w:val="004A064F"/>
    <w:rsid w:val="004A0F94"/>
    <w:rsid w:val="004A491F"/>
    <w:rsid w:val="004B1E10"/>
    <w:rsid w:val="004B24FD"/>
    <w:rsid w:val="004B2EBB"/>
    <w:rsid w:val="004B2F52"/>
    <w:rsid w:val="004D3493"/>
    <w:rsid w:val="004D5FF8"/>
    <w:rsid w:val="004D7688"/>
    <w:rsid w:val="004E01A7"/>
    <w:rsid w:val="004E19D2"/>
    <w:rsid w:val="004E37C8"/>
    <w:rsid w:val="004E44B2"/>
    <w:rsid w:val="004E5C35"/>
    <w:rsid w:val="004F1095"/>
    <w:rsid w:val="004F1DD7"/>
    <w:rsid w:val="004F2515"/>
    <w:rsid w:val="00505E59"/>
    <w:rsid w:val="0050635D"/>
    <w:rsid w:val="00506817"/>
    <w:rsid w:val="005129C4"/>
    <w:rsid w:val="00517F53"/>
    <w:rsid w:val="00520759"/>
    <w:rsid w:val="00522085"/>
    <w:rsid w:val="00522D78"/>
    <w:rsid w:val="00523E9A"/>
    <w:rsid w:val="00524BF9"/>
    <w:rsid w:val="00531BCA"/>
    <w:rsid w:val="00543BB5"/>
    <w:rsid w:val="0054614C"/>
    <w:rsid w:val="00547D4E"/>
    <w:rsid w:val="00552B7B"/>
    <w:rsid w:val="00553437"/>
    <w:rsid w:val="00554921"/>
    <w:rsid w:val="00557035"/>
    <w:rsid w:val="00561B3E"/>
    <w:rsid w:val="00561F56"/>
    <w:rsid w:val="0056495C"/>
    <w:rsid w:val="00570D53"/>
    <w:rsid w:val="00575E47"/>
    <w:rsid w:val="00575FC2"/>
    <w:rsid w:val="005842CA"/>
    <w:rsid w:val="005849C5"/>
    <w:rsid w:val="00591610"/>
    <w:rsid w:val="005945C8"/>
    <w:rsid w:val="00595AF4"/>
    <w:rsid w:val="005A6AA0"/>
    <w:rsid w:val="005A6E09"/>
    <w:rsid w:val="005A7225"/>
    <w:rsid w:val="005B13BF"/>
    <w:rsid w:val="005B31CA"/>
    <w:rsid w:val="005B3FDF"/>
    <w:rsid w:val="005B4716"/>
    <w:rsid w:val="005B4EE1"/>
    <w:rsid w:val="005B5B3A"/>
    <w:rsid w:val="005C1D65"/>
    <w:rsid w:val="005C228D"/>
    <w:rsid w:val="005C79E0"/>
    <w:rsid w:val="005D10E5"/>
    <w:rsid w:val="005D3BD8"/>
    <w:rsid w:val="005D6961"/>
    <w:rsid w:val="005E0D5C"/>
    <w:rsid w:val="005E41EC"/>
    <w:rsid w:val="005E57AA"/>
    <w:rsid w:val="005F35F4"/>
    <w:rsid w:val="005F6FFB"/>
    <w:rsid w:val="00600E1A"/>
    <w:rsid w:val="00603C75"/>
    <w:rsid w:val="00606289"/>
    <w:rsid w:val="00606AAB"/>
    <w:rsid w:val="00611343"/>
    <w:rsid w:val="00611CDF"/>
    <w:rsid w:val="0061660E"/>
    <w:rsid w:val="0062246B"/>
    <w:rsid w:val="00623192"/>
    <w:rsid w:val="00626CFC"/>
    <w:rsid w:val="006350D2"/>
    <w:rsid w:val="00636071"/>
    <w:rsid w:val="00636240"/>
    <w:rsid w:val="0064037E"/>
    <w:rsid w:val="00641613"/>
    <w:rsid w:val="00651204"/>
    <w:rsid w:val="006520F5"/>
    <w:rsid w:val="00654508"/>
    <w:rsid w:val="00655664"/>
    <w:rsid w:val="00655A31"/>
    <w:rsid w:val="00655F27"/>
    <w:rsid w:val="00664F3E"/>
    <w:rsid w:val="006709CC"/>
    <w:rsid w:val="00680A17"/>
    <w:rsid w:val="00683602"/>
    <w:rsid w:val="00684D51"/>
    <w:rsid w:val="00695B1E"/>
    <w:rsid w:val="006A0DAB"/>
    <w:rsid w:val="006A11A1"/>
    <w:rsid w:val="006A1EAE"/>
    <w:rsid w:val="006A589E"/>
    <w:rsid w:val="006A7D5B"/>
    <w:rsid w:val="006B4924"/>
    <w:rsid w:val="006C3576"/>
    <w:rsid w:val="006D4F6A"/>
    <w:rsid w:val="006D5760"/>
    <w:rsid w:val="006E046A"/>
    <w:rsid w:val="006E1511"/>
    <w:rsid w:val="006E4B4C"/>
    <w:rsid w:val="006F0BF4"/>
    <w:rsid w:val="006F2CB1"/>
    <w:rsid w:val="006F2E49"/>
    <w:rsid w:val="006F5D9D"/>
    <w:rsid w:val="00703619"/>
    <w:rsid w:val="007164E7"/>
    <w:rsid w:val="0071753E"/>
    <w:rsid w:val="00720E69"/>
    <w:rsid w:val="0072556B"/>
    <w:rsid w:val="00726C16"/>
    <w:rsid w:val="00732949"/>
    <w:rsid w:val="007340D7"/>
    <w:rsid w:val="007347B7"/>
    <w:rsid w:val="007365EC"/>
    <w:rsid w:val="00743908"/>
    <w:rsid w:val="00746C7C"/>
    <w:rsid w:val="00760253"/>
    <w:rsid w:val="00762391"/>
    <w:rsid w:val="00762A38"/>
    <w:rsid w:val="007659EE"/>
    <w:rsid w:val="007701F1"/>
    <w:rsid w:val="007707FF"/>
    <w:rsid w:val="00771B24"/>
    <w:rsid w:val="00777B54"/>
    <w:rsid w:val="007813E3"/>
    <w:rsid w:val="007954A6"/>
    <w:rsid w:val="00797F4B"/>
    <w:rsid w:val="007A010D"/>
    <w:rsid w:val="007A0F41"/>
    <w:rsid w:val="007A619D"/>
    <w:rsid w:val="007A7952"/>
    <w:rsid w:val="007B43FB"/>
    <w:rsid w:val="007B4637"/>
    <w:rsid w:val="007B78F6"/>
    <w:rsid w:val="007C08FF"/>
    <w:rsid w:val="007C1A8D"/>
    <w:rsid w:val="007C77FE"/>
    <w:rsid w:val="007D038B"/>
    <w:rsid w:val="007E2DE9"/>
    <w:rsid w:val="007F0A72"/>
    <w:rsid w:val="007F380A"/>
    <w:rsid w:val="007F67B7"/>
    <w:rsid w:val="007F719D"/>
    <w:rsid w:val="008005EF"/>
    <w:rsid w:val="008062B5"/>
    <w:rsid w:val="00806BC2"/>
    <w:rsid w:val="00810DAF"/>
    <w:rsid w:val="00812E22"/>
    <w:rsid w:val="00813DCA"/>
    <w:rsid w:val="008176A7"/>
    <w:rsid w:val="008229FF"/>
    <w:rsid w:val="00831EA6"/>
    <w:rsid w:val="0083202F"/>
    <w:rsid w:val="00834077"/>
    <w:rsid w:val="00843E8F"/>
    <w:rsid w:val="00844ECD"/>
    <w:rsid w:val="00850805"/>
    <w:rsid w:val="00853B1B"/>
    <w:rsid w:val="00854729"/>
    <w:rsid w:val="00856CB7"/>
    <w:rsid w:val="00861635"/>
    <w:rsid w:val="00866B14"/>
    <w:rsid w:val="0087315F"/>
    <w:rsid w:val="00873F2B"/>
    <w:rsid w:val="008747BB"/>
    <w:rsid w:val="008868D4"/>
    <w:rsid w:val="00886E2E"/>
    <w:rsid w:val="00890114"/>
    <w:rsid w:val="008936B0"/>
    <w:rsid w:val="008A0798"/>
    <w:rsid w:val="008A3230"/>
    <w:rsid w:val="008A5E7E"/>
    <w:rsid w:val="008A7A8F"/>
    <w:rsid w:val="008B0DB5"/>
    <w:rsid w:val="008B4958"/>
    <w:rsid w:val="008C18F6"/>
    <w:rsid w:val="008D086A"/>
    <w:rsid w:val="008D4F09"/>
    <w:rsid w:val="008E2A49"/>
    <w:rsid w:val="008E5D33"/>
    <w:rsid w:val="008E6F8C"/>
    <w:rsid w:val="008F03C5"/>
    <w:rsid w:val="008F0A64"/>
    <w:rsid w:val="008F68CF"/>
    <w:rsid w:val="008F78BA"/>
    <w:rsid w:val="00910A9F"/>
    <w:rsid w:val="00917BE0"/>
    <w:rsid w:val="009212A8"/>
    <w:rsid w:val="0092259A"/>
    <w:rsid w:val="0092469E"/>
    <w:rsid w:val="00924F16"/>
    <w:rsid w:val="009321BC"/>
    <w:rsid w:val="0093248D"/>
    <w:rsid w:val="0094182B"/>
    <w:rsid w:val="0094530E"/>
    <w:rsid w:val="009501BF"/>
    <w:rsid w:val="00965E4D"/>
    <w:rsid w:val="00967845"/>
    <w:rsid w:val="00972FBD"/>
    <w:rsid w:val="00980EA1"/>
    <w:rsid w:val="0098472B"/>
    <w:rsid w:val="00984BDF"/>
    <w:rsid w:val="0098614C"/>
    <w:rsid w:val="00986BD4"/>
    <w:rsid w:val="00993BBA"/>
    <w:rsid w:val="00994706"/>
    <w:rsid w:val="009A2783"/>
    <w:rsid w:val="009B1A8B"/>
    <w:rsid w:val="009B4B9D"/>
    <w:rsid w:val="009C347E"/>
    <w:rsid w:val="009C57C5"/>
    <w:rsid w:val="009C6DB6"/>
    <w:rsid w:val="009C7A9B"/>
    <w:rsid w:val="009D1297"/>
    <w:rsid w:val="009E69D5"/>
    <w:rsid w:val="009E72D1"/>
    <w:rsid w:val="009E7BA0"/>
    <w:rsid w:val="009F4A04"/>
    <w:rsid w:val="009F7604"/>
    <w:rsid w:val="00A0388B"/>
    <w:rsid w:val="00A05230"/>
    <w:rsid w:val="00A06090"/>
    <w:rsid w:val="00A07BDF"/>
    <w:rsid w:val="00A07EDB"/>
    <w:rsid w:val="00A11472"/>
    <w:rsid w:val="00A17147"/>
    <w:rsid w:val="00A20686"/>
    <w:rsid w:val="00A21CF1"/>
    <w:rsid w:val="00A25CE0"/>
    <w:rsid w:val="00A27339"/>
    <w:rsid w:val="00A34EF0"/>
    <w:rsid w:val="00A441AC"/>
    <w:rsid w:val="00A44C54"/>
    <w:rsid w:val="00A544DB"/>
    <w:rsid w:val="00A546CD"/>
    <w:rsid w:val="00A5631C"/>
    <w:rsid w:val="00A56D48"/>
    <w:rsid w:val="00A67E93"/>
    <w:rsid w:val="00A67F74"/>
    <w:rsid w:val="00A73AB0"/>
    <w:rsid w:val="00A75698"/>
    <w:rsid w:val="00A85AAC"/>
    <w:rsid w:val="00A86317"/>
    <w:rsid w:val="00A87B59"/>
    <w:rsid w:val="00A90103"/>
    <w:rsid w:val="00A902DA"/>
    <w:rsid w:val="00A9241B"/>
    <w:rsid w:val="00A93D9D"/>
    <w:rsid w:val="00A967D5"/>
    <w:rsid w:val="00AA103B"/>
    <w:rsid w:val="00AA7674"/>
    <w:rsid w:val="00AB02DA"/>
    <w:rsid w:val="00AC41CD"/>
    <w:rsid w:val="00AC45BB"/>
    <w:rsid w:val="00AC46A6"/>
    <w:rsid w:val="00AC6178"/>
    <w:rsid w:val="00AE2164"/>
    <w:rsid w:val="00AE628D"/>
    <w:rsid w:val="00AE7FC8"/>
    <w:rsid w:val="00AF030A"/>
    <w:rsid w:val="00AF09C9"/>
    <w:rsid w:val="00AF19A8"/>
    <w:rsid w:val="00B00BBF"/>
    <w:rsid w:val="00B01C6F"/>
    <w:rsid w:val="00B024D6"/>
    <w:rsid w:val="00B07C51"/>
    <w:rsid w:val="00B11121"/>
    <w:rsid w:val="00B1384C"/>
    <w:rsid w:val="00B2101F"/>
    <w:rsid w:val="00B2590C"/>
    <w:rsid w:val="00B34D9D"/>
    <w:rsid w:val="00B36FB3"/>
    <w:rsid w:val="00B413AE"/>
    <w:rsid w:val="00B472F0"/>
    <w:rsid w:val="00B47D41"/>
    <w:rsid w:val="00B50510"/>
    <w:rsid w:val="00B55AB5"/>
    <w:rsid w:val="00B562A3"/>
    <w:rsid w:val="00B6511D"/>
    <w:rsid w:val="00B74632"/>
    <w:rsid w:val="00B756D1"/>
    <w:rsid w:val="00B76F32"/>
    <w:rsid w:val="00B86368"/>
    <w:rsid w:val="00B90AA8"/>
    <w:rsid w:val="00B9472D"/>
    <w:rsid w:val="00BA5441"/>
    <w:rsid w:val="00BA549A"/>
    <w:rsid w:val="00BA5E64"/>
    <w:rsid w:val="00BA7B5D"/>
    <w:rsid w:val="00BB622B"/>
    <w:rsid w:val="00BC32BF"/>
    <w:rsid w:val="00BC6633"/>
    <w:rsid w:val="00BC784C"/>
    <w:rsid w:val="00BD636D"/>
    <w:rsid w:val="00BD7E21"/>
    <w:rsid w:val="00BF2748"/>
    <w:rsid w:val="00BF2DC4"/>
    <w:rsid w:val="00BF488E"/>
    <w:rsid w:val="00BF5617"/>
    <w:rsid w:val="00BF5DEA"/>
    <w:rsid w:val="00BF7871"/>
    <w:rsid w:val="00C054C8"/>
    <w:rsid w:val="00C07F85"/>
    <w:rsid w:val="00C115EB"/>
    <w:rsid w:val="00C130E6"/>
    <w:rsid w:val="00C21C01"/>
    <w:rsid w:val="00C3065B"/>
    <w:rsid w:val="00C31A70"/>
    <w:rsid w:val="00C3234B"/>
    <w:rsid w:val="00C500D2"/>
    <w:rsid w:val="00C54E5F"/>
    <w:rsid w:val="00C55229"/>
    <w:rsid w:val="00C61600"/>
    <w:rsid w:val="00C634FD"/>
    <w:rsid w:val="00C63507"/>
    <w:rsid w:val="00C67D9B"/>
    <w:rsid w:val="00C67E7E"/>
    <w:rsid w:val="00C76586"/>
    <w:rsid w:val="00C77A17"/>
    <w:rsid w:val="00C82FE4"/>
    <w:rsid w:val="00C83571"/>
    <w:rsid w:val="00C93636"/>
    <w:rsid w:val="00CA1CE7"/>
    <w:rsid w:val="00CA60B4"/>
    <w:rsid w:val="00CA6D15"/>
    <w:rsid w:val="00CB1A85"/>
    <w:rsid w:val="00CB2103"/>
    <w:rsid w:val="00CB52DF"/>
    <w:rsid w:val="00CB6452"/>
    <w:rsid w:val="00CB735F"/>
    <w:rsid w:val="00CE1CF8"/>
    <w:rsid w:val="00CE6A3C"/>
    <w:rsid w:val="00CE7DB9"/>
    <w:rsid w:val="00CF2945"/>
    <w:rsid w:val="00CF5456"/>
    <w:rsid w:val="00D0202E"/>
    <w:rsid w:val="00D0686A"/>
    <w:rsid w:val="00D11669"/>
    <w:rsid w:val="00D120B1"/>
    <w:rsid w:val="00D141E6"/>
    <w:rsid w:val="00D141F7"/>
    <w:rsid w:val="00D2535F"/>
    <w:rsid w:val="00D3382C"/>
    <w:rsid w:val="00D470A9"/>
    <w:rsid w:val="00D523AF"/>
    <w:rsid w:val="00D541EC"/>
    <w:rsid w:val="00D546D7"/>
    <w:rsid w:val="00D6550D"/>
    <w:rsid w:val="00D669F6"/>
    <w:rsid w:val="00D76495"/>
    <w:rsid w:val="00D80412"/>
    <w:rsid w:val="00D830FA"/>
    <w:rsid w:val="00D84561"/>
    <w:rsid w:val="00D859FB"/>
    <w:rsid w:val="00D86133"/>
    <w:rsid w:val="00D90055"/>
    <w:rsid w:val="00D92B7D"/>
    <w:rsid w:val="00D944B6"/>
    <w:rsid w:val="00D9646B"/>
    <w:rsid w:val="00DA4F58"/>
    <w:rsid w:val="00DA7D22"/>
    <w:rsid w:val="00DB0176"/>
    <w:rsid w:val="00DB2A1B"/>
    <w:rsid w:val="00DB6376"/>
    <w:rsid w:val="00DC2620"/>
    <w:rsid w:val="00DD22CC"/>
    <w:rsid w:val="00DD2666"/>
    <w:rsid w:val="00DF3906"/>
    <w:rsid w:val="00DF43E4"/>
    <w:rsid w:val="00DF5B94"/>
    <w:rsid w:val="00DF67EE"/>
    <w:rsid w:val="00DF7742"/>
    <w:rsid w:val="00E0085C"/>
    <w:rsid w:val="00E015F6"/>
    <w:rsid w:val="00E07446"/>
    <w:rsid w:val="00E15E97"/>
    <w:rsid w:val="00E25BD3"/>
    <w:rsid w:val="00E310C1"/>
    <w:rsid w:val="00E317E2"/>
    <w:rsid w:val="00E3261C"/>
    <w:rsid w:val="00E43A1A"/>
    <w:rsid w:val="00E46657"/>
    <w:rsid w:val="00E50866"/>
    <w:rsid w:val="00E50CD7"/>
    <w:rsid w:val="00E522FD"/>
    <w:rsid w:val="00E537EC"/>
    <w:rsid w:val="00E62EB8"/>
    <w:rsid w:val="00E63238"/>
    <w:rsid w:val="00E64D01"/>
    <w:rsid w:val="00E73E56"/>
    <w:rsid w:val="00E82E1C"/>
    <w:rsid w:val="00E87046"/>
    <w:rsid w:val="00E94C54"/>
    <w:rsid w:val="00E950F6"/>
    <w:rsid w:val="00E9630F"/>
    <w:rsid w:val="00EB2EA4"/>
    <w:rsid w:val="00EB3A85"/>
    <w:rsid w:val="00EB6DE2"/>
    <w:rsid w:val="00EC0899"/>
    <w:rsid w:val="00EC2D8C"/>
    <w:rsid w:val="00ED3F0A"/>
    <w:rsid w:val="00ED7669"/>
    <w:rsid w:val="00ED7B88"/>
    <w:rsid w:val="00EE4D05"/>
    <w:rsid w:val="00EF1D8B"/>
    <w:rsid w:val="00EF2171"/>
    <w:rsid w:val="00EF3709"/>
    <w:rsid w:val="00EF4188"/>
    <w:rsid w:val="00EF491B"/>
    <w:rsid w:val="00EF49CF"/>
    <w:rsid w:val="00EF553D"/>
    <w:rsid w:val="00F06DDC"/>
    <w:rsid w:val="00F07594"/>
    <w:rsid w:val="00F12BE0"/>
    <w:rsid w:val="00F34223"/>
    <w:rsid w:val="00F36755"/>
    <w:rsid w:val="00F40131"/>
    <w:rsid w:val="00F404AB"/>
    <w:rsid w:val="00F40B7A"/>
    <w:rsid w:val="00F41439"/>
    <w:rsid w:val="00F45DCF"/>
    <w:rsid w:val="00F47B5B"/>
    <w:rsid w:val="00F51763"/>
    <w:rsid w:val="00F51AAF"/>
    <w:rsid w:val="00F51BE1"/>
    <w:rsid w:val="00F56F63"/>
    <w:rsid w:val="00F652D3"/>
    <w:rsid w:val="00F815E8"/>
    <w:rsid w:val="00F826CB"/>
    <w:rsid w:val="00F83BD1"/>
    <w:rsid w:val="00F8629D"/>
    <w:rsid w:val="00F96BA0"/>
    <w:rsid w:val="00FA505F"/>
    <w:rsid w:val="00FB33ED"/>
    <w:rsid w:val="00FB5BF1"/>
    <w:rsid w:val="00FB78C6"/>
    <w:rsid w:val="00FC648B"/>
    <w:rsid w:val="00FD6918"/>
    <w:rsid w:val="00FE2F0F"/>
    <w:rsid w:val="00FE58AD"/>
    <w:rsid w:val="00FF2306"/>
    <w:rsid w:val="00FF485D"/>
    <w:rsid w:val="01694AA8"/>
    <w:rsid w:val="031440EC"/>
    <w:rsid w:val="04041E62"/>
    <w:rsid w:val="057D2AD7"/>
    <w:rsid w:val="06F4502A"/>
    <w:rsid w:val="0739711D"/>
    <w:rsid w:val="095A4095"/>
    <w:rsid w:val="09B25ADB"/>
    <w:rsid w:val="09CB3E4F"/>
    <w:rsid w:val="0AAA1DA2"/>
    <w:rsid w:val="0B9F7CF3"/>
    <w:rsid w:val="0CF06B9B"/>
    <w:rsid w:val="0E645149"/>
    <w:rsid w:val="10741895"/>
    <w:rsid w:val="11E47170"/>
    <w:rsid w:val="1352532B"/>
    <w:rsid w:val="140456A8"/>
    <w:rsid w:val="187341FE"/>
    <w:rsid w:val="1A475CA0"/>
    <w:rsid w:val="1C604D73"/>
    <w:rsid w:val="1F1B4185"/>
    <w:rsid w:val="21490E47"/>
    <w:rsid w:val="21615214"/>
    <w:rsid w:val="26233C99"/>
    <w:rsid w:val="279C2E4F"/>
    <w:rsid w:val="29CA62FD"/>
    <w:rsid w:val="2D676EF6"/>
    <w:rsid w:val="3023487E"/>
    <w:rsid w:val="31C97DAF"/>
    <w:rsid w:val="3322278F"/>
    <w:rsid w:val="338E0943"/>
    <w:rsid w:val="33BC7AC0"/>
    <w:rsid w:val="34164229"/>
    <w:rsid w:val="35786087"/>
    <w:rsid w:val="35B8687B"/>
    <w:rsid w:val="36267119"/>
    <w:rsid w:val="36586EB8"/>
    <w:rsid w:val="37747F73"/>
    <w:rsid w:val="38CD0995"/>
    <w:rsid w:val="3A5B5CD0"/>
    <w:rsid w:val="3AAD23A4"/>
    <w:rsid w:val="3B2F09F8"/>
    <w:rsid w:val="3C6F4EEF"/>
    <w:rsid w:val="3E074719"/>
    <w:rsid w:val="3E9428E4"/>
    <w:rsid w:val="3FEB3A32"/>
    <w:rsid w:val="43C447FF"/>
    <w:rsid w:val="442F0DD7"/>
    <w:rsid w:val="44E572AE"/>
    <w:rsid w:val="46C67791"/>
    <w:rsid w:val="479F2497"/>
    <w:rsid w:val="4AB56943"/>
    <w:rsid w:val="4B0067AD"/>
    <w:rsid w:val="4B3973E1"/>
    <w:rsid w:val="4C1747A9"/>
    <w:rsid w:val="4F8313A9"/>
    <w:rsid w:val="50304CAC"/>
    <w:rsid w:val="599014AB"/>
    <w:rsid w:val="5C9653C7"/>
    <w:rsid w:val="63321F73"/>
    <w:rsid w:val="651F7DFA"/>
    <w:rsid w:val="658E1B3D"/>
    <w:rsid w:val="664851CD"/>
    <w:rsid w:val="66F33640"/>
    <w:rsid w:val="67AC1529"/>
    <w:rsid w:val="699B494E"/>
    <w:rsid w:val="6F5C5FE1"/>
    <w:rsid w:val="6FC675EB"/>
    <w:rsid w:val="702C660C"/>
    <w:rsid w:val="71C31DC5"/>
    <w:rsid w:val="744C6E8F"/>
    <w:rsid w:val="749747DD"/>
    <w:rsid w:val="7C237159"/>
    <w:rsid w:val="7DB267CA"/>
    <w:rsid w:val="7E6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tabs>
        <w:tab w:val="left" w:pos="480"/>
        <w:tab w:val="left" w:pos="720"/>
      </w:tabs>
      <w:spacing w:beforeLines="50" w:afterLines="50" w:line="300" w:lineRule="auto"/>
      <w:ind w:left="720" w:hanging="720"/>
      <w:outlineLvl w:val="0"/>
    </w:pPr>
    <w:rPr>
      <w:rFonts w:ascii="Arial" w:hAnsi="Arial"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0"/>
      <w:szCs w:val="0"/>
    </w:rPr>
  </w:style>
  <w:style w:type="character" w:customStyle="1" w:styleId="17">
    <w:name w:val="日期 Char"/>
    <w:basedOn w:val="10"/>
    <w:link w:val="3"/>
    <w:semiHidden/>
    <w:qFormat/>
    <w:uiPriority w:val="99"/>
    <w:rPr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E85CB-07A4-4DC2-B5B1-0D8E3EA256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</Company>
  <Pages>6</Pages>
  <Words>399</Words>
  <Characters>2279</Characters>
  <Lines>18</Lines>
  <Paragraphs>5</Paragraphs>
  <TotalTime>38</TotalTime>
  <ScaleCrop>false</ScaleCrop>
  <LinksUpToDate>false</LinksUpToDate>
  <CharactersWithSpaces>2673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2018-08-01T03:50:00Z</dcterms:created>
  <dc:creator>HP</dc:creator>
  <cp:lastModifiedBy>??</cp:lastModifiedBy>
  <cp:lastPrinted>2019-04-22T01:19:00Z</cp:lastPrinted>
  <dcterms:modified xsi:type="dcterms:W3CDTF">2021-01-28T07:20:44Z</dcterms:modified>
  <dc:title>2010年重庆乡镇企业发展资金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